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u w:val="single"/>
          <w:lang w:val="cs-CZ"/>
        </w:rPr>
      </w:pPr>
      <w:r>
        <w:rPr>
          <w:u w:val="single"/>
          <w:lang w:val="cs-CZ"/>
        </w:rPr>
        <w:t>FUTURUM OPHTHALMOLOGICUM 2022 – ABSTRAKT</w:t>
      </w:r>
    </w:p>
    <w:p>
      <w:pPr>
        <w:pStyle w:val="Normal"/>
        <w:rPr>
          <w:lang w:val="cs-CZ"/>
        </w:rPr>
      </w:pPr>
      <w:r>
        <w:rPr>
          <w:lang w:val="cs-CZ"/>
        </w:rPr>
        <w:t>Název přednášky: NAŠE ZKUŠENOSTI S BROLUCIZUMABEM</w:t>
      </w:r>
    </w:p>
    <w:p>
      <w:pPr>
        <w:pStyle w:val="Normal"/>
        <w:rPr/>
      </w:pPr>
      <w:r>
        <w:rPr>
          <w:lang w:val="cs-CZ"/>
        </w:rPr>
        <w:t>Auto</w:t>
      </w:r>
      <w:r>
        <w:rPr>
          <w:lang w:val="cs-CZ"/>
        </w:rPr>
        <w:t>r</w:t>
      </w:r>
      <w:r>
        <w:rPr>
          <w:lang w:val="cs-CZ"/>
        </w:rPr>
        <w:t>: MUDr. KLOMFAR Martin</w:t>
      </w:r>
    </w:p>
    <w:p>
      <w:pPr>
        <w:pStyle w:val="Normal"/>
        <w:rPr>
          <w:lang w:val="cs-CZ"/>
        </w:rPr>
      </w:pPr>
      <w:r>
        <w:rPr>
          <w:lang w:val="cs-CZ"/>
        </w:rPr>
        <w:t>Prezentující autor: MUDr. KLOMFAR Martin</w:t>
      </w:r>
    </w:p>
    <w:p>
      <w:pPr>
        <w:pStyle w:val="Normal"/>
        <w:rPr>
          <w:lang w:val="cs-CZ"/>
        </w:rPr>
      </w:pPr>
      <w:r>
        <w:rPr>
          <w:lang w:val="cs-CZ"/>
        </w:rPr>
        <w:t>Pracoviště: Oční oddělení Nemocnice České Budějovice, a.s.</w:t>
      </w:r>
    </w:p>
    <w:p>
      <w:pPr>
        <w:pStyle w:val="Normal"/>
        <w:rPr>
          <w:lang w:val="cs-CZ"/>
        </w:rPr>
      </w:pPr>
      <w:r>
        <w:rPr>
          <w:b/>
          <w:lang w:val="cs-CZ"/>
        </w:rPr>
        <w:t>Cíl:</w:t>
      </w:r>
      <w:r>
        <w:rPr>
          <w:lang w:val="cs-CZ"/>
        </w:rPr>
        <w:t xml:space="preserve"> Cílem přednášky je prezentovat naše více jak rok a čtvrt trvající zkušenosti s aplikací brolucizumabu intravitreálně u vlhké formy věkem podmíněné makulární degenerace.</w:t>
      </w:r>
    </w:p>
    <w:p>
      <w:pPr>
        <w:pStyle w:val="Normal"/>
        <w:rPr>
          <w:lang w:val="cs-CZ"/>
        </w:rPr>
      </w:pPr>
      <w:r>
        <w:rPr>
          <w:b/>
          <w:lang w:val="cs-CZ"/>
        </w:rPr>
        <w:t>Metodika:</w:t>
      </w:r>
      <w:r>
        <w:rPr>
          <w:lang w:val="cs-CZ"/>
        </w:rPr>
        <w:t xml:space="preserve"> Přednáška retrospektivně zhodnocuje výsledky 785 aplikací brolucizumabu u 175 pacientů v období od listopadu 2020 do února 2022. Pacienti jsou statisticky rozděleni podle pohlaví, sledován je i věk pacientů a zda-li se jedná o pacienty naivní či switchované. Statisticky porovnáváme procentuální nastavení 8 či 12 týdenního fixního režimu v 16. týdnu léčby, dále změnu fixního režimu v průběhu terapie a na konci sledovacího období v 56. týdnu. Statistika též sleduje vývoj zrakové ostrosti v počtu ETDRS písmen a v grafické podobě porovnává se studií HAWK. V neposlední řadě je statisticky veden výskyt nežádoucích událostí během terapie brolucizumabem a opět porovnán s výsledky dostupných studií HAWK a HARRIER. Prezentovaná statistika je doplněna o 4 krátké kazuistiky. Dvě z nich prezentují možný obraz nežádoucí události během terapie a to okluzivní vaskulitidu a vitritidu, jejich terapii a event. další řešení při přetrvávající aktivní CNV.</w:t>
      </w:r>
    </w:p>
    <w:p>
      <w:pPr>
        <w:pStyle w:val="Normal"/>
        <w:rPr>
          <w:lang w:val="cs-CZ"/>
        </w:rPr>
      </w:pPr>
      <w:r>
        <w:rPr>
          <w:b/>
          <w:lang w:val="cs-CZ"/>
        </w:rPr>
        <w:t>Výsledky:</w:t>
      </w:r>
      <w:r>
        <w:rPr>
          <w:lang w:val="cs-CZ"/>
        </w:rPr>
        <w:t xml:space="preserve"> Průměrný věk sledovaných pacientů byl 75 let, převažovaly ženy se zastoupením 61,7%. V 77,7 % se jednalo o naivní pacienty, 22,3% pacienti switchovaní. Nežádoucí událost se vyskytla u 9 pacientů tedy v 5,1% (z toho 11,1% po 1. aplikaci=1 pacient, 55,6% po 2. aplikaci=5 pacientů, 22% po 3. aplikaci=2 pacienti a 11,1% po 5. aplikaci=1 pacient). Fixní režim nastavený v 16. týdnu terapie zaujímal 120 pacientů splňujících toto sledovací období. U 57 resp. 47,5% pacientů byl dle reakce na terapii v loadingové fázi nastaven 8 týdenní fixní režim, u 63 resp. 52,5% pacientů 12 týdenní fix. Dle rozdělení na pacienty naivní a switchované: u 39 naivních (41,5%) nastaven 8 týdenní fixní režim, u 55 naivních (58,5%) nastaven 12 týdenní fixní režim, u 18 switchovaných (69,2%) nastaven 8 týdenní fixní režim, u 8 switchovaných pacientů (30,8%) nastaven 12 týdenní fix. Během terapie byla změna fixu zaznamenána u 16 pacientů, u 7 z nich z 8 na 12 týdnů a u 9 z 12 na 8 týdnů. Sledovací období v 56. týdnu splňovalo 17 pacientů (6 pacientů=35,3% v 8 týdenním fixu, 11=64,7% ve fixu 12 týdnů). Opět je vedena statistika naivních a switchovaných pacientů. V 56. týdnu dosahují fixu 8 týdnů 3 (30%) naivní pacienti a fixu 12 týdnů 7 (70%) naivních pacientů, u switchovaných pacientů se jedná o 3 (42,9%) v 8 týdenním fixním režimu a 4 (57,1%) ve 12 týdenním fixu. Ze statistiky sledující průměrný vývoj ETDRS písmen vyplývají výsledky: vstupní počet ETDRS písmen u naivních pacientů 56,95 písmen, v 16. týdnu 67,07 písmen a v 56. týdnu 74,25 písmen. U switchovaných pacientů byl průměrný počet písmen při zahájení terapie 54,94, v 16. týdnu 57,88 a v 56. týdnu 76,0 písmen.</w:t>
      </w:r>
    </w:p>
    <w:p>
      <w:pPr>
        <w:pStyle w:val="Normal"/>
        <w:rPr>
          <w:lang w:val="cs-CZ"/>
        </w:rPr>
      </w:pPr>
      <w:r>
        <w:rPr>
          <w:b/>
          <w:lang w:val="cs-CZ"/>
        </w:rPr>
        <w:t>Závěr:</w:t>
      </w:r>
      <w:r>
        <w:rPr>
          <w:lang w:val="cs-CZ"/>
        </w:rPr>
        <w:t xml:space="preserve"> Intravitreální aplikace Brolucizumabu rozšiřuje možnosti a  spektrum anti-VEGF preparátů v léčbě vlhké formy věkem podmíněné makulární degenerace jak u pacientů naivních tak switchovaných. Z výsledků statistiky a sledovaných pacientů vyplývá výrazný anatomický efekt již po 1. aplikaci tohoto preparátu, následován zlepšením NKZO a to i v průběhu dlouhodobé terapie. Za zmínku stojí benefit delšího sledovacícho období a volného mechanismu fixního režimu. Na druhé straně se však nesmí zapomínat na bezpečnostní profil při indikaci brolucizumabu a možnosti výskytu nežádoucích událostí během terapie.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4eb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 LibreOffice_project/60da17e045e08f1793c57c00ba83cdfce946d0aa</Application>
  <Pages>2</Pages>
  <Words>556</Words>
  <Characters>3077</Characters>
  <CharactersWithSpaces>3626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2022-11-04T07:49:00Z</dcterms:created>
  <dc:creator>Monika Marčišová</dc:creator>
  <dc:description/>
  <dc:language>cs-CZ</dc:language>
  <cp:lastModifiedBy/>
  <dcterms:modified xsi:type="dcterms:W3CDTF">2022-11-04T09:08:37Z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